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92A49" w14:textId="6953A945" w:rsidR="00A32767" w:rsidRDefault="00A32767" w:rsidP="00A32767">
      <w:pPr>
        <w:rPr>
          <w:rFonts w:ascii="Arial" w:hAnsi="Arial" w:cs="Arial"/>
          <w:b/>
          <w:sz w:val="20"/>
          <w:szCs w:val="20"/>
        </w:rPr>
      </w:pPr>
      <w:r>
        <w:rPr>
          <w:rFonts w:ascii="Arial" w:hAnsi="Arial" w:cs="Arial"/>
          <w:b/>
          <w:sz w:val="20"/>
          <w:szCs w:val="20"/>
        </w:rPr>
        <w:t xml:space="preserve">Please note: the Reading and Writing strands are aligned with the sections of the </w:t>
      </w:r>
      <w:r>
        <w:rPr>
          <w:rFonts w:ascii="Arial" w:hAnsi="Arial" w:cs="Arial"/>
          <w:b/>
          <w:i/>
          <w:sz w:val="20"/>
          <w:szCs w:val="20"/>
        </w:rPr>
        <w:t xml:space="preserve">Atlantic Canada Reading and Writing Achievement Standards </w:t>
      </w:r>
      <w:r>
        <w:rPr>
          <w:rFonts w:ascii="Arial" w:hAnsi="Arial" w:cs="Arial"/>
          <w:b/>
          <w:sz w:val="20"/>
          <w:szCs w:val="20"/>
        </w:rPr>
        <w:t xml:space="preserve">which were developed from GCOs 4 – 10 in the </w:t>
      </w:r>
      <w:r>
        <w:rPr>
          <w:rFonts w:ascii="Arial" w:hAnsi="Arial" w:cs="Arial"/>
          <w:b/>
          <w:i/>
          <w:sz w:val="20"/>
          <w:szCs w:val="20"/>
        </w:rPr>
        <w:t>Atlantic Canada English Language Arts Curriculum</w:t>
      </w:r>
      <w:r>
        <w:rPr>
          <w:rFonts w:ascii="Arial" w:hAnsi="Arial" w:cs="Arial"/>
          <w:b/>
          <w:sz w:val="20"/>
          <w:szCs w:val="20"/>
        </w:rPr>
        <w:t>.</w:t>
      </w:r>
    </w:p>
    <w:p w14:paraId="00AD0E3D" w14:textId="77777777" w:rsidR="00A32767" w:rsidRDefault="00A32767"/>
    <w:tbl>
      <w:tblPr>
        <w:tblStyle w:val="TableGrid"/>
        <w:tblW w:w="13751" w:type="dxa"/>
        <w:tblInd w:w="-318" w:type="dxa"/>
        <w:tblLook w:val="04A0" w:firstRow="1" w:lastRow="0" w:firstColumn="1" w:lastColumn="0" w:noHBand="0" w:noVBand="1"/>
      </w:tblPr>
      <w:tblGrid>
        <w:gridCol w:w="1622"/>
        <w:gridCol w:w="2915"/>
        <w:gridCol w:w="3119"/>
        <w:gridCol w:w="2976"/>
        <w:gridCol w:w="3119"/>
      </w:tblGrid>
      <w:tr w:rsidR="004E626E" w:rsidRPr="00654FC0" w14:paraId="4CBE6686" w14:textId="77777777" w:rsidTr="00E93D06">
        <w:trPr>
          <w:trHeight w:val="246"/>
        </w:trPr>
        <w:tc>
          <w:tcPr>
            <w:tcW w:w="1622" w:type="dxa"/>
            <w:shd w:val="clear" w:color="auto" w:fill="C6D9F1" w:themeFill="text2" w:themeFillTint="33"/>
          </w:tcPr>
          <w:p w14:paraId="4CBE6681" w14:textId="369EAF04" w:rsidR="004E626E" w:rsidRPr="00E93D06" w:rsidRDefault="004E626E" w:rsidP="00337F34">
            <w:pPr>
              <w:rPr>
                <w:rFonts w:ascii="Arial" w:hAnsi="Arial" w:cs="Arial"/>
              </w:rPr>
            </w:pPr>
          </w:p>
        </w:tc>
        <w:tc>
          <w:tcPr>
            <w:tcW w:w="2915" w:type="dxa"/>
            <w:shd w:val="clear" w:color="auto" w:fill="C6D9F1" w:themeFill="text2" w:themeFillTint="33"/>
          </w:tcPr>
          <w:p w14:paraId="4CBE6682" w14:textId="77777777" w:rsidR="004E626E" w:rsidRPr="00E93D06" w:rsidRDefault="004E626E" w:rsidP="00C679CF">
            <w:pPr>
              <w:jc w:val="center"/>
              <w:rPr>
                <w:rFonts w:ascii="Arial" w:hAnsi="Arial" w:cs="Arial"/>
              </w:rPr>
            </w:pPr>
            <w:r w:rsidRPr="00E93D06">
              <w:rPr>
                <w:rFonts w:ascii="Arial" w:hAnsi="Arial" w:cs="Arial"/>
              </w:rPr>
              <w:t>4 - Exceeding</w:t>
            </w:r>
          </w:p>
        </w:tc>
        <w:tc>
          <w:tcPr>
            <w:tcW w:w="3119" w:type="dxa"/>
            <w:shd w:val="clear" w:color="auto" w:fill="C6D9F1" w:themeFill="text2" w:themeFillTint="33"/>
          </w:tcPr>
          <w:p w14:paraId="4CBE6683" w14:textId="77777777" w:rsidR="004E626E" w:rsidRPr="00E93D06" w:rsidRDefault="004E626E" w:rsidP="00C679CF">
            <w:pPr>
              <w:jc w:val="center"/>
              <w:rPr>
                <w:rFonts w:ascii="Arial" w:hAnsi="Arial" w:cs="Arial"/>
              </w:rPr>
            </w:pPr>
            <w:r w:rsidRPr="00E93D06">
              <w:rPr>
                <w:rFonts w:ascii="Arial" w:hAnsi="Arial" w:cs="Arial"/>
              </w:rPr>
              <w:t>3 - Meeting</w:t>
            </w:r>
          </w:p>
        </w:tc>
        <w:tc>
          <w:tcPr>
            <w:tcW w:w="2976" w:type="dxa"/>
            <w:shd w:val="clear" w:color="auto" w:fill="C6D9F1" w:themeFill="text2" w:themeFillTint="33"/>
          </w:tcPr>
          <w:p w14:paraId="4CBE6684" w14:textId="77777777" w:rsidR="004E626E" w:rsidRPr="00E93D06" w:rsidRDefault="004E626E" w:rsidP="00C679CF">
            <w:pPr>
              <w:jc w:val="center"/>
              <w:rPr>
                <w:rFonts w:ascii="Arial" w:hAnsi="Arial" w:cs="Arial"/>
              </w:rPr>
            </w:pPr>
            <w:r w:rsidRPr="00E93D06">
              <w:rPr>
                <w:rFonts w:ascii="Arial" w:hAnsi="Arial" w:cs="Arial"/>
              </w:rPr>
              <w:t>2 - Approaching</w:t>
            </w:r>
          </w:p>
        </w:tc>
        <w:tc>
          <w:tcPr>
            <w:tcW w:w="3119" w:type="dxa"/>
            <w:shd w:val="clear" w:color="auto" w:fill="C6D9F1" w:themeFill="text2" w:themeFillTint="33"/>
          </w:tcPr>
          <w:p w14:paraId="4CBE6685" w14:textId="77777777" w:rsidR="004E626E" w:rsidRPr="00E93D06" w:rsidRDefault="004E626E" w:rsidP="00C679CF">
            <w:pPr>
              <w:jc w:val="center"/>
              <w:rPr>
                <w:rFonts w:ascii="Arial" w:hAnsi="Arial" w:cs="Arial"/>
              </w:rPr>
            </w:pPr>
            <w:r w:rsidRPr="00E93D06">
              <w:rPr>
                <w:rFonts w:ascii="Arial" w:hAnsi="Arial" w:cs="Arial"/>
              </w:rPr>
              <w:t>1 -Working Below</w:t>
            </w:r>
          </w:p>
        </w:tc>
      </w:tr>
      <w:tr w:rsidR="00881097" w:rsidRPr="00654FC0" w14:paraId="4CBE668C" w14:textId="77777777" w:rsidTr="00E93D06">
        <w:trPr>
          <w:trHeight w:val="1249"/>
        </w:trPr>
        <w:tc>
          <w:tcPr>
            <w:tcW w:w="1622" w:type="dxa"/>
          </w:tcPr>
          <w:p w14:paraId="4CBE6687" w14:textId="77777777" w:rsidR="00881097" w:rsidRPr="00E93D06" w:rsidRDefault="00E93D06" w:rsidP="00337F34">
            <w:pPr>
              <w:rPr>
                <w:rFonts w:ascii="Arial" w:hAnsi="Arial" w:cs="Arial"/>
                <w:b/>
              </w:rPr>
            </w:pPr>
            <w:r w:rsidRPr="00E93D06">
              <w:rPr>
                <w:rFonts w:ascii="Arial" w:hAnsi="Arial" w:cs="Arial"/>
                <w:b/>
              </w:rPr>
              <w:t>Speaking and Listening</w:t>
            </w:r>
          </w:p>
        </w:tc>
        <w:tc>
          <w:tcPr>
            <w:tcW w:w="2915" w:type="dxa"/>
          </w:tcPr>
          <w:p w14:paraId="4CBE6688" w14:textId="77777777" w:rsidR="00881097" w:rsidRPr="00E93D06" w:rsidRDefault="00903F2E" w:rsidP="00E93D06">
            <w:pPr>
              <w:rPr>
                <w:rFonts w:ascii="Arial" w:hAnsi="Arial" w:cs="Arial"/>
              </w:rPr>
            </w:pPr>
            <w:r w:rsidRPr="00E93D06">
              <w:rPr>
                <w:rFonts w:ascii="Arial" w:hAnsi="Arial" w:cs="Arial"/>
              </w:rPr>
              <w:t xml:space="preserve">Consistently considers the audience when responding to questions and participating in informal speaking activities. Engages in and responds to formal speaking activities using and interpreting conventions appropriate to the situation. Independently evaluates </w:t>
            </w:r>
            <w:r w:rsidR="00E93D06" w:rsidRPr="00E93D06">
              <w:rPr>
                <w:rFonts w:ascii="Arial" w:hAnsi="Arial" w:cs="Arial"/>
              </w:rPr>
              <w:t xml:space="preserve">own </w:t>
            </w:r>
            <w:r w:rsidRPr="00E93D06">
              <w:rPr>
                <w:rFonts w:ascii="Arial" w:hAnsi="Arial" w:cs="Arial"/>
              </w:rPr>
              <w:t>speaking and makes improvements. Asks probing questions</w:t>
            </w:r>
            <w:r w:rsidR="00D00F29" w:rsidRPr="00E93D06">
              <w:rPr>
                <w:rFonts w:ascii="Arial" w:hAnsi="Arial" w:cs="Arial"/>
              </w:rPr>
              <w:t>. L</w:t>
            </w:r>
            <w:r w:rsidRPr="00E93D06">
              <w:rPr>
                <w:rFonts w:ascii="Arial" w:hAnsi="Arial" w:cs="Arial"/>
              </w:rPr>
              <w:t xml:space="preserve">istens critically to others’ points of view; differentiates fact and opinion and identifies bias. </w:t>
            </w:r>
          </w:p>
        </w:tc>
        <w:tc>
          <w:tcPr>
            <w:tcW w:w="3119" w:type="dxa"/>
            <w:shd w:val="clear" w:color="auto" w:fill="auto"/>
          </w:tcPr>
          <w:p w14:paraId="4CBE6689" w14:textId="77777777" w:rsidR="00881097" w:rsidRPr="00E93D06" w:rsidRDefault="00903F2E" w:rsidP="00E93D06">
            <w:pPr>
              <w:pStyle w:val="Default"/>
              <w:rPr>
                <w:rFonts w:ascii="Arial" w:eastAsiaTheme="minorHAnsi" w:hAnsi="Arial" w:cs="Arial"/>
                <w:color w:val="auto"/>
                <w:sz w:val="22"/>
                <w:szCs w:val="22"/>
                <w:lang w:val="en-CA"/>
              </w:rPr>
            </w:pPr>
            <w:r w:rsidRPr="00E93D06">
              <w:rPr>
                <w:rFonts w:ascii="Arial" w:eastAsiaTheme="minorHAnsi" w:hAnsi="Arial" w:cs="Arial"/>
                <w:color w:val="auto"/>
                <w:sz w:val="22"/>
                <w:szCs w:val="22"/>
                <w:lang w:val="en-CA"/>
              </w:rPr>
              <w:t xml:space="preserve">Often considers the audience when responding to questions and participating in informal speaking activities. Engages in and responds to formal speaking activities </w:t>
            </w:r>
            <w:r w:rsidR="00D00F29" w:rsidRPr="00E93D06">
              <w:rPr>
                <w:rFonts w:ascii="Arial" w:eastAsiaTheme="minorHAnsi" w:hAnsi="Arial" w:cs="Arial"/>
                <w:color w:val="auto"/>
                <w:sz w:val="22"/>
                <w:szCs w:val="22"/>
                <w:lang w:val="en-CA"/>
              </w:rPr>
              <w:t xml:space="preserve">usually </w:t>
            </w:r>
            <w:r w:rsidRPr="00E93D06">
              <w:rPr>
                <w:rFonts w:ascii="Arial" w:eastAsiaTheme="minorHAnsi" w:hAnsi="Arial" w:cs="Arial"/>
                <w:color w:val="auto"/>
                <w:sz w:val="22"/>
                <w:szCs w:val="22"/>
                <w:lang w:val="en-CA"/>
              </w:rPr>
              <w:t xml:space="preserve">using and interpreting conventions appropriate to the situation. Usually evaluates </w:t>
            </w:r>
            <w:r w:rsidR="00E93D06" w:rsidRPr="00E93D06">
              <w:rPr>
                <w:rFonts w:ascii="Arial" w:eastAsiaTheme="minorHAnsi" w:hAnsi="Arial" w:cs="Arial"/>
                <w:color w:val="auto"/>
                <w:sz w:val="22"/>
                <w:szCs w:val="22"/>
                <w:lang w:val="en-CA"/>
              </w:rPr>
              <w:t xml:space="preserve">own </w:t>
            </w:r>
            <w:r w:rsidRPr="00E93D06">
              <w:rPr>
                <w:rFonts w:ascii="Arial" w:eastAsiaTheme="minorHAnsi" w:hAnsi="Arial" w:cs="Arial"/>
                <w:color w:val="auto"/>
                <w:sz w:val="22"/>
                <w:szCs w:val="22"/>
                <w:lang w:val="en-CA"/>
              </w:rPr>
              <w:t>speaking and often tries to improve. Usually asks questions for clarification</w:t>
            </w:r>
            <w:r w:rsidR="00D00F29" w:rsidRPr="00E93D06">
              <w:rPr>
                <w:rFonts w:ascii="Arial" w:eastAsiaTheme="minorHAnsi" w:hAnsi="Arial" w:cs="Arial"/>
                <w:color w:val="auto"/>
                <w:sz w:val="22"/>
                <w:szCs w:val="22"/>
                <w:lang w:val="en-CA"/>
              </w:rPr>
              <w:t xml:space="preserve"> and to extend the interaction</w:t>
            </w:r>
            <w:r w:rsidRPr="00E93D06">
              <w:rPr>
                <w:rFonts w:ascii="Arial" w:eastAsiaTheme="minorHAnsi" w:hAnsi="Arial" w:cs="Arial"/>
                <w:color w:val="auto"/>
                <w:sz w:val="22"/>
                <w:szCs w:val="22"/>
                <w:lang w:val="en-CA"/>
              </w:rPr>
              <w:t>. Often listens critically to others’ points of view; easily differentiates fact and opinion.</w:t>
            </w:r>
          </w:p>
        </w:tc>
        <w:tc>
          <w:tcPr>
            <w:tcW w:w="2976" w:type="dxa"/>
          </w:tcPr>
          <w:p w14:paraId="4CBE668A" w14:textId="77777777" w:rsidR="00881097" w:rsidRPr="00E93D06" w:rsidRDefault="00623273" w:rsidP="00E93D06">
            <w:pPr>
              <w:rPr>
                <w:rFonts w:ascii="Arial" w:hAnsi="Arial" w:cs="Arial"/>
              </w:rPr>
            </w:pPr>
            <w:r w:rsidRPr="00E93D06">
              <w:rPr>
                <w:rFonts w:ascii="Arial" w:hAnsi="Arial" w:cs="Arial"/>
              </w:rPr>
              <w:t>Tries to</w:t>
            </w:r>
            <w:r w:rsidR="00D00F29" w:rsidRPr="00E93D06">
              <w:rPr>
                <w:rFonts w:ascii="Arial" w:hAnsi="Arial" w:cs="Arial"/>
              </w:rPr>
              <w:t xml:space="preserve"> consider the audience when responding to questions and participating in informal speaking activities. Engages in and responds</w:t>
            </w:r>
            <w:r w:rsidRPr="00E93D06">
              <w:rPr>
                <w:rFonts w:ascii="Arial" w:hAnsi="Arial" w:cs="Arial"/>
              </w:rPr>
              <w:t xml:space="preserve"> to formal speaking activities, sometimes need support to </w:t>
            </w:r>
            <w:r w:rsidR="00D00F29" w:rsidRPr="00E93D06">
              <w:rPr>
                <w:rFonts w:ascii="Arial" w:hAnsi="Arial" w:cs="Arial"/>
              </w:rPr>
              <w:t>us</w:t>
            </w:r>
            <w:r w:rsidRPr="00E93D06">
              <w:rPr>
                <w:rFonts w:ascii="Arial" w:hAnsi="Arial" w:cs="Arial"/>
              </w:rPr>
              <w:t>e</w:t>
            </w:r>
            <w:r w:rsidR="00D00F29" w:rsidRPr="00E93D06">
              <w:rPr>
                <w:rFonts w:ascii="Arial" w:hAnsi="Arial" w:cs="Arial"/>
              </w:rPr>
              <w:t xml:space="preserve"> and interpret conventions appropriate to the situation. </w:t>
            </w:r>
            <w:r w:rsidR="00E93D06" w:rsidRPr="00E93D06">
              <w:rPr>
                <w:rFonts w:ascii="Arial" w:hAnsi="Arial" w:cs="Arial"/>
              </w:rPr>
              <w:t>Occasionally</w:t>
            </w:r>
            <w:r w:rsidR="00D00F29" w:rsidRPr="00E93D06">
              <w:rPr>
                <w:rFonts w:ascii="Arial" w:hAnsi="Arial" w:cs="Arial"/>
              </w:rPr>
              <w:t xml:space="preserve"> evaluates </w:t>
            </w:r>
            <w:r w:rsidR="00E93D06" w:rsidRPr="00E93D06">
              <w:rPr>
                <w:rFonts w:ascii="Arial" w:hAnsi="Arial" w:cs="Arial"/>
              </w:rPr>
              <w:t>own</w:t>
            </w:r>
            <w:r w:rsidR="00D00F29" w:rsidRPr="00E93D06">
              <w:rPr>
                <w:rFonts w:ascii="Arial" w:hAnsi="Arial" w:cs="Arial"/>
              </w:rPr>
              <w:t xml:space="preserve"> speaking and listening </w:t>
            </w:r>
            <w:r w:rsidRPr="00E93D06">
              <w:rPr>
                <w:rFonts w:ascii="Arial" w:hAnsi="Arial" w:cs="Arial"/>
              </w:rPr>
              <w:t>and</w:t>
            </w:r>
            <w:r w:rsidR="00D00F29" w:rsidRPr="00E93D06">
              <w:rPr>
                <w:rFonts w:ascii="Arial" w:hAnsi="Arial" w:cs="Arial"/>
              </w:rPr>
              <w:t xml:space="preserve"> tries to improve. Sometimes asks thoughtful questions. Somewhat listens to others’ ideas and opinions, differentiates fact and opinion.</w:t>
            </w:r>
          </w:p>
        </w:tc>
        <w:tc>
          <w:tcPr>
            <w:tcW w:w="3119" w:type="dxa"/>
          </w:tcPr>
          <w:p w14:paraId="4CBE668B" w14:textId="77777777" w:rsidR="00881097" w:rsidRPr="00E93D06" w:rsidRDefault="00623273" w:rsidP="00E93D06">
            <w:pPr>
              <w:rPr>
                <w:rFonts w:ascii="Arial" w:hAnsi="Arial" w:cs="Arial"/>
              </w:rPr>
            </w:pPr>
            <w:r w:rsidRPr="00E93D06">
              <w:rPr>
                <w:rFonts w:ascii="Arial" w:hAnsi="Arial" w:cs="Arial"/>
              </w:rPr>
              <w:t xml:space="preserve">Does not consider the audience when responding to questions and participating in informal speaking activities. Rarely engages in and responds to formal speaking activities, needs a great deal of support to use and interpret conventions appropriate to the situation. Unable to evaluate </w:t>
            </w:r>
            <w:r w:rsidR="00E93D06" w:rsidRPr="00E93D06">
              <w:rPr>
                <w:rFonts w:ascii="Arial" w:hAnsi="Arial" w:cs="Arial"/>
              </w:rPr>
              <w:t>own</w:t>
            </w:r>
            <w:r w:rsidRPr="00E93D06">
              <w:rPr>
                <w:rFonts w:ascii="Arial" w:hAnsi="Arial" w:cs="Arial"/>
              </w:rPr>
              <w:t xml:space="preserve"> speaking and listening performance. Rarely asks questions. With a great deal of prompting, may listen to others’ ideas and opinions and differentiate fact and opinion.</w:t>
            </w:r>
          </w:p>
        </w:tc>
        <w:bookmarkStart w:id="0" w:name="_GoBack"/>
        <w:bookmarkEnd w:id="0"/>
      </w:tr>
      <w:tr w:rsidR="00B315D8" w:rsidRPr="00654FC0" w14:paraId="4CBE6693" w14:textId="77777777" w:rsidTr="00E93D06">
        <w:tc>
          <w:tcPr>
            <w:tcW w:w="1622" w:type="dxa"/>
          </w:tcPr>
          <w:p w14:paraId="4CBE668D" w14:textId="77777777" w:rsidR="00E93D06" w:rsidRPr="00E93D06" w:rsidRDefault="00E93D06" w:rsidP="00B51503">
            <w:pPr>
              <w:rPr>
                <w:rFonts w:ascii="Arial" w:hAnsi="Arial" w:cs="Arial"/>
                <w:b/>
              </w:rPr>
            </w:pPr>
            <w:r w:rsidRPr="00E93D06">
              <w:rPr>
                <w:rFonts w:ascii="Arial" w:hAnsi="Arial" w:cs="Arial"/>
                <w:b/>
              </w:rPr>
              <w:t xml:space="preserve">Reading and Viewing </w:t>
            </w:r>
          </w:p>
          <w:p w14:paraId="4CBE668E" w14:textId="77777777" w:rsidR="00B315D8" w:rsidRPr="00E93D06" w:rsidRDefault="003C526C" w:rsidP="00E93D06">
            <w:pPr>
              <w:rPr>
                <w:rFonts w:ascii="Arial" w:hAnsi="Arial" w:cs="Arial"/>
              </w:rPr>
            </w:pPr>
            <w:r w:rsidRPr="00E93D06">
              <w:rPr>
                <w:rFonts w:ascii="Arial" w:hAnsi="Arial" w:cs="Arial"/>
              </w:rPr>
              <w:t>As research is the focus,</w:t>
            </w:r>
            <w:r w:rsidR="00B51503" w:rsidRPr="00E93D06">
              <w:rPr>
                <w:rFonts w:ascii="Arial" w:hAnsi="Arial" w:cs="Arial"/>
              </w:rPr>
              <w:t xml:space="preserve"> i</w:t>
            </w:r>
            <w:r w:rsidRPr="00E93D06">
              <w:rPr>
                <w:rFonts w:ascii="Arial" w:hAnsi="Arial" w:cs="Arial"/>
              </w:rPr>
              <w:t xml:space="preserve">ndicators refer to </w:t>
            </w:r>
            <w:r w:rsidR="00E93D06" w:rsidRPr="00E93D06">
              <w:rPr>
                <w:rFonts w:ascii="Arial" w:hAnsi="Arial" w:cs="Arial"/>
              </w:rPr>
              <w:t xml:space="preserve">finding </w:t>
            </w:r>
            <w:r w:rsidRPr="00E93D06">
              <w:rPr>
                <w:rFonts w:ascii="Arial" w:hAnsi="Arial" w:cs="Arial"/>
              </w:rPr>
              <w:t xml:space="preserve">information </w:t>
            </w:r>
            <w:r w:rsidR="00E93D06" w:rsidRPr="00E93D06">
              <w:rPr>
                <w:rFonts w:ascii="Arial" w:hAnsi="Arial" w:cs="Arial"/>
              </w:rPr>
              <w:t>in</w:t>
            </w:r>
            <w:r w:rsidRPr="00E93D06">
              <w:rPr>
                <w:rFonts w:ascii="Arial" w:hAnsi="Arial" w:cs="Arial"/>
              </w:rPr>
              <w:t xml:space="preserve"> a range of texts. </w:t>
            </w:r>
          </w:p>
        </w:tc>
        <w:tc>
          <w:tcPr>
            <w:tcW w:w="2915" w:type="dxa"/>
          </w:tcPr>
          <w:p w14:paraId="4CBE668F" w14:textId="77777777" w:rsidR="00B315D8" w:rsidRPr="00E93D06" w:rsidRDefault="003C526C" w:rsidP="0004429A">
            <w:pPr>
              <w:rPr>
                <w:rFonts w:ascii="Arial" w:hAnsi="Arial" w:cs="Arial"/>
              </w:rPr>
            </w:pPr>
            <w:r w:rsidRPr="00E93D06">
              <w:rPr>
                <w:rFonts w:ascii="Arial" w:hAnsi="Arial" w:cs="Arial"/>
              </w:rPr>
              <w:t xml:space="preserve">Consistently uses reading strategies, classification systems, reference materials, and conventions and characteristics of a variety of print and media texts, regardless of the text complexity, to find information of interest. Supports opinions about texts with relevant details </w:t>
            </w:r>
            <w:r w:rsidR="0004429A" w:rsidRPr="00E93D06">
              <w:rPr>
                <w:rFonts w:ascii="Arial" w:hAnsi="Arial" w:cs="Arial"/>
              </w:rPr>
              <w:lastRenderedPageBreak/>
              <w:t>and combines information, from more than source, to answer research questions. Consistently q</w:t>
            </w:r>
            <w:r w:rsidRPr="00E93D06">
              <w:rPr>
                <w:rFonts w:ascii="Arial" w:hAnsi="Arial" w:cs="Arial"/>
              </w:rPr>
              <w:t xml:space="preserve">uestions </w:t>
            </w:r>
            <w:r w:rsidR="0004429A" w:rsidRPr="00E93D06">
              <w:rPr>
                <w:rFonts w:ascii="Arial" w:hAnsi="Arial" w:cs="Arial"/>
              </w:rPr>
              <w:t xml:space="preserve">and analyzes </w:t>
            </w:r>
            <w:r w:rsidRPr="00E93D06">
              <w:rPr>
                <w:rFonts w:ascii="Arial" w:hAnsi="Arial" w:cs="Arial"/>
              </w:rPr>
              <w:t>information presented in print and visual texts.</w:t>
            </w:r>
          </w:p>
        </w:tc>
        <w:tc>
          <w:tcPr>
            <w:tcW w:w="3119" w:type="dxa"/>
            <w:shd w:val="clear" w:color="auto" w:fill="auto"/>
          </w:tcPr>
          <w:p w14:paraId="4CBE6690" w14:textId="77777777" w:rsidR="00B315D8" w:rsidRPr="00E93D06" w:rsidRDefault="003C526C" w:rsidP="003C526C">
            <w:pPr>
              <w:pStyle w:val="Default"/>
              <w:rPr>
                <w:rFonts w:ascii="Arial" w:hAnsi="Arial" w:cs="Arial"/>
                <w:sz w:val="22"/>
                <w:szCs w:val="22"/>
              </w:rPr>
            </w:pPr>
            <w:r w:rsidRPr="00E93D06">
              <w:rPr>
                <w:rFonts w:ascii="Arial" w:eastAsiaTheme="minorHAnsi" w:hAnsi="Arial" w:cs="Arial"/>
                <w:color w:val="auto"/>
                <w:sz w:val="22"/>
                <w:szCs w:val="22"/>
                <w:lang w:val="en-CA"/>
              </w:rPr>
              <w:lastRenderedPageBreak/>
              <w:t xml:space="preserve">Often uses reading strategies, classification systems, reference materials, and conventions and characteristics of a variety of print and media texts to find information of interest. Usually supports opinions about texts with relevant details recognizing more than one source is needed for </w:t>
            </w:r>
            <w:r w:rsidRPr="00E93D06">
              <w:rPr>
                <w:rFonts w:ascii="Arial" w:eastAsiaTheme="minorHAnsi" w:hAnsi="Arial" w:cs="Arial"/>
                <w:color w:val="auto"/>
                <w:sz w:val="22"/>
                <w:szCs w:val="22"/>
                <w:lang w:val="en-CA"/>
              </w:rPr>
              <w:lastRenderedPageBreak/>
              <w:t xml:space="preserve">research purposes. Often questions information presented in print and visual texts. </w:t>
            </w:r>
          </w:p>
        </w:tc>
        <w:tc>
          <w:tcPr>
            <w:tcW w:w="2976" w:type="dxa"/>
          </w:tcPr>
          <w:p w14:paraId="4CBE6691" w14:textId="77777777" w:rsidR="00B315D8" w:rsidRPr="00E93D06" w:rsidRDefault="0004429A" w:rsidP="0004429A">
            <w:pPr>
              <w:rPr>
                <w:rFonts w:ascii="Arial" w:hAnsi="Arial" w:cs="Arial"/>
              </w:rPr>
            </w:pPr>
            <w:r w:rsidRPr="00E93D06">
              <w:rPr>
                <w:rFonts w:ascii="Arial" w:hAnsi="Arial" w:cs="Arial"/>
              </w:rPr>
              <w:lastRenderedPageBreak/>
              <w:t xml:space="preserve">With support uses reading strategies, classification systems, reference materials, and conventions and characteristics of a variety of print and media texts to find information of interest. Occasionally supports opinions about texts with relevant details recognizing more than one </w:t>
            </w:r>
            <w:r w:rsidRPr="00E93D06">
              <w:rPr>
                <w:rFonts w:ascii="Arial" w:hAnsi="Arial" w:cs="Arial"/>
              </w:rPr>
              <w:lastRenderedPageBreak/>
              <w:t>source is needed for research purposes. At times, questions information presented in print and visual texts.</w:t>
            </w:r>
          </w:p>
        </w:tc>
        <w:tc>
          <w:tcPr>
            <w:tcW w:w="3119" w:type="dxa"/>
          </w:tcPr>
          <w:p w14:paraId="4CBE6692" w14:textId="77777777" w:rsidR="00B315D8" w:rsidRPr="00E93D06" w:rsidRDefault="0004429A" w:rsidP="0004429A">
            <w:pPr>
              <w:rPr>
                <w:rFonts w:ascii="Arial" w:hAnsi="Arial" w:cs="Arial"/>
              </w:rPr>
            </w:pPr>
            <w:r w:rsidRPr="00E93D06">
              <w:rPr>
                <w:rFonts w:ascii="Arial" w:hAnsi="Arial" w:cs="Arial"/>
              </w:rPr>
              <w:lastRenderedPageBreak/>
              <w:t xml:space="preserve">Needs a great deal of support to use reading strategies, classification systems, reference materials, and conventions and characteristics of print and media texts to find information of interest. Unable to support opinions about texts with relevant details and has a limited </w:t>
            </w:r>
            <w:r w:rsidRPr="00E93D06">
              <w:rPr>
                <w:rFonts w:ascii="Arial" w:hAnsi="Arial" w:cs="Arial"/>
              </w:rPr>
              <w:lastRenderedPageBreak/>
              <w:t>understanding of the importance of more than one source for the purpose of research. Rarely questions information presented in print and visual texts.</w:t>
            </w:r>
          </w:p>
        </w:tc>
      </w:tr>
      <w:tr w:rsidR="00B315D8" w:rsidRPr="00654FC0" w14:paraId="4CBE6699" w14:textId="77777777" w:rsidTr="00E93D06">
        <w:tc>
          <w:tcPr>
            <w:tcW w:w="1622" w:type="dxa"/>
            <w:shd w:val="clear" w:color="auto" w:fill="auto"/>
          </w:tcPr>
          <w:p w14:paraId="4CBE6694" w14:textId="77777777" w:rsidR="00B315D8" w:rsidRPr="00E93D06" w:rsidRDefault="00E93D06" w:rsidP="009E5244">
            <w:pPr>
              <w:rPr>
                <w:rFonts w:ascii="Arial" w:hAnsi="Arial" w:cs="Arial"/>
                <w:b/>
              </w:rPr>
            </w:pPr>
            <w:r w:rsidRPr="00E93D06">
              <w:rPr>
                <w:rFonts w:ascii="Arial" w:hAnsi="Arial" w:cs="Arial"/>
                <w:b/>
              </w:rPr>
              <w:lastRenderedPageBreak/>
              <w:t>Writing and Representing</w:t>
            </w:r>
          </w:p>
        </w:tc>
        <w:tc>
          <w:tcPr>
            <w:tcW w:w="2915" w:type="dxa"/>
            <w:shd w:val="clear" w:color="auto" w:fill="auto"/>
          </w:tcPr>
          <w:p w14:paraId="4CBE6695" w14:textId="77777777" w:rsidR="00B315D8" w:rsidRPr="00E93D06" w:rsidRDefault="009D07E3" w:rsidP="00B51503">
            <w:pPr>
              <w:rPr>
                <w:rFonts w:ascii="Arial" w:hAnsi="Arial" w:cs="Arial"/>
              </w:rPr>
            </w:pPr>
            <w:r w:rsidRPr="00E93D06">
              <w:rPr>
                <w:rFonts w:ascii="Arial" w:hAnsi="Arial" w:cs="Arial"/>
              </w:rPr>
              <w:t>Regularly uses grade-level strategies</w:t>
            </w:r>
            <w:r w:rsidR="00B51503" w:rsidRPr="00E93D06">
              <w:rPr>
                <w:rFonts w:ascii="Arial" w:hAnsi="Arial" w:cs="Arial"/>
              </w:rPr>
              <w:t>,</w:t>
            </w:r>
            <w:r w:rsidR="003835B5" w:rsidRPr="00E93D06">
              <w:rPr>
                <w:rFonts w:ascii="Arial" w:hAnsi="Arial" w:cs="Arial"/>
              </w:rPr>
              <w:t xml:space="preserve"> </w:t>
            </w:r>
            <w:r w:rsidR="00A014E1" w:rsidRPr="00E93D06">
              <w:rPr>
                <w:rFonts w:ascii="Arial" w:hAnsi="Arial" w:cs="Arial"/>
              </w:rPr>
              <w:t>writing tools</w:t>
            </w:r>
            <w:r w:rsidR="00B51503" w:rsidRPr="00E93D06">
              <w:rPr>
                <w:rFonts w:ascii="Arial" w:hAnsi="Arial" w:cs="Arial"/>
              </w:rPr>
              <w:t>, and research skills to examine, gather, manage and communicate ideas about a topic</w:t>
            </w:r>
            <w:r w:rsidR="009648F7" w:rsidRPr="00E93D06">
              <w:rPr>
                <w:rFonts w:ascii="Arial" w:hAnsi="Arial" w:cs="Arial"/>
              </w:rPr>
              <w:t xml:space="preserve">. </w:t>
            </w:r>
            <w:r w:rsidR="0043448D" w:rsidRPr="00E93D06">
              <w:rPr>
                <w:rFonts w:ascii="Arial" w:hAnsi="Arial" w:cs="Arial"/>
              </w:rPr>
              <w:t>Takes risks when creating</w:t>
            </w:r>
            <w:r w:rsidRPr="00E93D06">
              <w:rPr>
                <w:rFonts w:ascii="Arial" w:hAnsi="Arial" w:cs="Arial"/>
              </w:rPr>
              <w:t xml:space="preserve"> which may result in errors</w:t>
            </w:r>
            <w:r w:rsidR="001F62CF" w:rsidRPr="00E93D06">
              <w:rPr>
                <w:rFonts w:ascii="Arial" w:hAnsi="Arial" w:cs="Arial"/>
              </w:rPr>
              <w:t xml:space="preserve">; </w:t>
            </w:r>
            <w:r w:rsidR="003835B5" w:rsidRPr="00E93D06">
              <w:rPr>
                <w:rFonts w:ascii="Arial" w:hAnsi="Arial" w:cs="Arial"/>
              </w:rPr>
              <w:t xml:space="preserve">demonstrates </w:t>
            </w:r>
            <w:r w:rsidR="001F62CF" w:rsidRPr="00E93D06">
              <w:rPr>
                <w:rFonts w:ascii="Arial" w:hAnsi="Arial" w:cs="Arial"/>
              </w:rPr>
              <w:t>some</w:t>
            </w:r>
            <w:r w:rsidR="003835B5" w:rsidRPr="00E93D06">
              <w:rPr>
                <w:rFonts w:ascii="Arial" w:hAnsi="Arial" w:cs="Arial"/>
              </w:rPr>
              <w:t xml:space="preserve"> </w:t>
            </w:r>
            <w:r w:rsidR="00B51503" w:rsidRPr="00E93D06">
              <w:rPr>
                <w:rFonts w:ascii="Arial" w:hAnsi="Arial" w:cs="Arial"/>
              </w:rPr>
              <w:t xml:space="preserve">most or all </w:t>
            </w:r>
            <w:r w:rsidR="003835B5" w:rsidRPr="00E93D06">
              <w:rPr>
                <w:rFonts w:ascii="Arial" w:hAnsi="Arial" w:cs="Arial"/>
              </w:rPr>
              <w:t>aspects</w:t>
            </w:r>
            <w:r w:rsidR="00337F34" w:rsidRPr="00E93D06">
              <w:rPr>
                <w:rFonts w:ascii="Arial" w:hAnsi="Arial" w:cs="Arial"/>
              </w:rPr>
              <w:t xml:space="preserve"> of </w:t>
            </w:r>
            <w:r w:rsidR="001F62CF" w:rsidRPr="00E93D06">
              <w:rPr>
                <w:rFonts w:ascii="Arial" w:hAnsi="Arial" w:cs="Arial"/>
              </w:rPr>
              <w:t>strong grade-level writing</w:t>
            </w:r>
            <w:r w:rsidR="00337F34" w:rsidRPr="00E93D06">
              <w:rPr>
                <w:rFonts w:ascii="Arial" w:hAnsi="Arial" w:cs="Arial"/>
              </w:rPr>
              <w:t>.</w:t>
            </w:r>
            <w:r w:rsidR="004F2F57" w:rsidRPr="00E93D06">
              <w:rPr>
                <w:rFonts w:ascii="Arial" w:hAnsi="Arial" w:cs="Arial"/>
              </w:rPr>
              <w:t xml:space="preserve"> </w:t>
            </w:r>
          </w:p>
        </w:tc>
        <w:tc>
          <w:tcPr>
            <w:tcW w:w="3119" w:type="dxa"/>
            <w:shd w:val="clear" w:color="auto" w:fill="auto"/>
          </w:tcPr>
          <w:p w14:paraId="4CBE6696" w14:textId="77777777" w:rsidR="00B315D8" w:rsidRPr="00E93D06" w:rsidRDefault="009D07E3" w:rsidP="00B51503">
            <w:pPr>
              <w:rPr>
                <w:rFonts w:ascii="Arial" w:hAnsi="Arial" w:cs="Arial"/>
              </w:rPr>
            </w:pPr>
            <w:r w:rsidRPr="00E93D06">
              <w:rPr>
                <w:rFonts w:ascii="Arial" w:hAnsi="Arial" w:cs="Arial"/>
              </w:rPr>
              <w:t>Generally uses grade-level strategies</w:t>
            </w:r>
            <w:r w:rsidR="00B51503" w:rsidRPr="00E93D06">
              <w:rPr>
                <w:rFonts w:ascii="Arial" w:hAnsi="Arial" w:cs="Arial"/>
              </w:rPr>
              <w:t>,</w:t>
            </w:r>
            <w:r w:rsidR="003835B5" w:rsidRPr="00E93D06">
              <w:rPr>
                <w:rFonts w:ascii="Arial" w:hAnsi="Arial" w:cs="Arial"/>
              </w:rPr>
              <w:t xml:space="preserve"> writing tools</w:t>
            </w:r>
            <w:r w:rsidR="00B51503" w:rsidRPr="00E93D06">
              <w:rPr>
                <w:rFonts w:ascii="Arial" w:hAnsi="Arial" w:cs="Arial"/>
              </w:rPr>
              <w:t>, and research skills</w:t>
            </w:r>
            <w:r w:rsidR="003835B5" w:rsidRPr="00E93D06">
              <w:rPr>
                <w:rFonts w:ascii="Arial" w:hAnsi="Arial" w:cs="Arial"/>
              </w:rPr>
              <w:t xml:space="preserve"> to </w:t>
            </w:r>
            <w:r w:rsidR="00B51503" w:rsidRPr="00E93D06">
              <w:rPr>
                <w:rFonts w:ascii="Arial" w:hAnsi="Arial" w:cs="Arial"/>
              </w:rPr>
              <w:t xml:space="preserve">gather, manage and </w:t>
            </w:r>
            <w:r w:rsidR="003835B5" w:rsidRPr="00E93D06">
              <w:rPr>
                <w:rFonts w:ascii="Arial" w:hAnsi="Arial" w:cs="Arial"/>
              </w:rPr>
              <w:t xml:space="preserve">communicate </w:t>
            </w:r>
            <w:r w:rsidR="00B51503" w:rsidRPr="00E93D06">
              <w:rPr>
                <w:rFonts w:ascii="Arial" w:hAnsi="Arial" w:cs="Arial"/>
              </w:rPr>
              <w:t>ideas about a topic</w:t>
            </w:r>
            <w:r w:rsidR="003835B5" w:rsidRPr="00E93D06">
              <w:rPr>
                <w:rFonts w:ascii="Arial" w:hAnsi="Arial" w:cs="Arial"/>
              </w:rPr>
              <w:t xml:space="preserve">. </w:t>
            </w:r>
            <w:r w:rsidR="009648F7" w:rsidRPr="00E93D06">
              <w:rPr>
                <w:rFonts w:ascii="Arial" w:hAnsi="Arial" w:cs="Arial"/>
              </w:rPr>
              <w:t xml:space="preserve">Usually </w:t>
            </w:r>
            <w:r w:rsidR="003835B5" w:rsidRPr="00E93D06">
              <w:rPr>
                <w:rFonts w:ascii="Arial" w:hAnsi="Arial" w:cs="Arial"/>
              </w:rPr>
              <w:t xml:space="preserve">demonstrates </w:t>
            </w:r>
            <w:r w:rsidR="001F62CF" w:rsidRPr="00E93D06">
              <w:rPr>
                <w:rFonts w:ascii="Arial" w:hAnsi="Arial" w:cs="Arial"/>
              </w:rPr>
              <w:t>the</w:t>
            </w:r>
            <w:r w:rsidR="003835B5" w:rsidRPr="00E93D06">
              <w:rPr>
                <w:rFonts w:ascii="Arial" w:hAnsi="Arial" w:cs="Arial"/>
              </w:rPr>
              <w:t xml:space="preserve"> aspects </w:t>
            </w:r>
            <w:r w:rsidR="00337F34" w:rsidRPr="00E93D06">
              <w:rPr>
                <w:rFonts w:ascii="Arial" w:hAnsi="Arial" w:cs="Arial"/>
              </w:rPr>
              <w:t xml:space="preserve">of writing appropriate for </w:t>
            </w:r>
            <w:r w:rsidR="001F62CF" w:rsidRPr="00E93D06">
              <w:rPr>
                <w:rFonts w:ascii="Arial" w:hAnsi="Arial" w:cs="Arial"/>
              </w:rPr>
              <w:t xml:space="preserve">the </w:t>
            </w:r>
            <w:r w:rsidR="00337F34" w:rsidRPr="00E93D06">
              <w:rPr>
                <w:rFonts w:ascii="Arial" w:hAnsi="Arial" w:cs="Arial"/>
              </w:rPr>
              <w:t>grade level.</w:t>
            </w:r>
          </w:p>
        </w:tc>
        <w:tc>
          <w:tcPr>
            <w:tcW w:w="2976" w:type="dxa"/>
            <w:shd w:val="clear" w:color="auto" w:fill="auto"/>
          </w:tcPr>
          <w:p w14:paraId="4CBE6697" w14:textId="77777777" w:rsidR="00B315D8" w:rsidRPr="00E93D06" w:rsidRDefault="009D07E3" w:rsidP="00B51503">
            <w:pPr>
              <w:rPr>
                <w:rFonts w:ascii="Arial" w:hAnsi="Arial" w:cs="Arial"/>
                <w:color w:val="8064A2" w:themeColor="accent4"/>
              </w:rPr>
            </w:pPr>
            <w:r w:rsidRPr="00E93D06">
              <w:rPr>
                <w:rFonts w:ascii="Arial" w:hAnsi="Arial" w:cs="Arial"/>
              </w:rPr>
              <w:t xml:space="preserve">Needs support </w:t>
            </w:r>
            <w:r w:rsidR="003835B5" w:rsidRPr="00E93D06">
              <w:rPr>
                <w:rFonts w:ascii="Arial" w:hAnsi="Arial" w:cs="Arial"/>
              </w:rPr>
              <w:t>to use grade-level strategies</w:t>
            </w:r>
            <w:r w:rsidR="00B51503" w:rsidRPr="00E93D06">
              <w:rPr>
                <w:rFonts w:ascii="Arial" w:hAnsi="Arial" w:cs="Arial"/>
              </w:rPr>
              <w:t xml:space="preserve">, </w:t>
            </w:r>
            <w:r w:rsidR="003835B5" w:rsidRPr="00E93D06">
              <w:rPr>
                <w:rFonts w:ascii="Arial" w:hAnsi="Arial" w:cs="Arial"/>
              </w:rPr>
              <w:t>writing tools</w:t>
            </w:r>
            <w:r w:rsidR="00B51503" w:rsidRPr="00E93D06">
              <w:rPr>
                <w:rFonts w:ascii="Arial" w:hAnsi="Arial" w:cs="Arial"/>
              </w:rPr>
              <w:t>, and research skills</w:t>
            </w:r>
            <w:r w:rsidR="003835B5" w:rsidRPr="00E93D06">
              <w:rPr>
                <w:rFonts w:ascii="Arial" w:hAnsi="Arial" w:cs="Arial"/>
              </w:rPr>
              <w:t xml:space="preserve"> to </w:t>
            </w:r>
            <w:r w:rsidR="00B51503" w:rsidRPr="00E93D06">
              <w:rPr>
                <w:rFonts w:ascii="Arial" w:hAnsi="Arial" w:cs="Arial"/>
              </w:rPr>
              <w:t xml:space="preserve">gather, manage and </w:t>
            </w:r>
            <w:r w:rsidR="003835B5" w:rsidRPr="00E93D06">
              <w:rPr>
                <w:rFonts w:ascii="Arial" w:hAnsi="Arial" w:cs="Arial"/>
              </w:rPr>
              <w:t xml:space="preserve">communicate messages. Demonstrates some aspects </w:t>
            </w:r>
            <w:r w:rsidR="00337F34" w:rsidRPr="00E93D06">
              <w:rPr>
                <w:rFonts w:ascii="Arial" w:hAnsi="Arial" w:cs="Arial"/>
              </w:rPr>
              <w:t>of writing appropriate for grade level.</w:t>
            </w:r>
          </w:p>
        </w:tc>
        <w:tc>
          <w:tcPr>
            <w:tcW w:w="3119" w:type="dxa"/>
            <w:shd w:val="clear" w:color="auto" w:fill="auto"/>
          </w:tcPr>
          <w:p w14:paraId="4CBE6698" w14:textId="77777777" w:rsidR="00B315D8" w:rsidRPr="00E93D06" w:rsidRDefault="009648F7" w:rsidP="00B51503">
            <w:pPr>
              <w:rPr>
                <w:rFonts w:ascii="Arial" w:hAnsi="Arial" w:cs="Arial"/>
                <w:color w:val="8064A2" w:themeColor="accent4"/>
              </w:rPr>
            </w:pPr>
            <w:r w:rsidRPr="00E93D06">
              <w:rPr>
                <w:rFonts w:ascii="Arial" w:hAnsi="Arial" w:cs="Arial"/>
              </w:rPr>
              <w:t>Requires a great deal of direction to use grade-level strategies</w:t>
            </w:r>
            <w:r w:rsidR="00B51503" w:rsidRPr="00E93D06">
              <w:rPr>
                <w:rFonts w:ascii="Arial" w:hAnsi="Arial" w:cs="Arial"/>
              </w:rPr>
              <w:t>,</w:t>
            </w:r>
            <w:r w:rsidR="003034A3" w:rsidRPr="00E93D06">
              <w:rPr>
                <w:rFonts w:ascii="Arial" w:hAnsi="Arial" w:cs="Arial"/>
              </w:rPr>
              <w:t xml:space="preserve"> writing tools</w:t>
            </w:r>
            <w:r w:rsidR="00B51503" w:rsidRPr="00E93D06">
              <w:rPr>
                <w:rFonts w:ascii="Arial" w:hAnsi="Arial" w:cs="Arial"/>
              </w:rPr>
              <w:t xml:space="preserve"> and research skills to generate ideas and communicate messages</w:t>
            </w:r>
            <w:r w:rsidRPr="00E93D06">
              <w:rPr>
                <w:rFonts w:ascii="Arial" w:hAnsi="Arial" w:cs="Arial"/>
              </w:rPr>
              <w:t xml:space="preserve">. </w:t>
            </w:r>
            <w:r w:rsidR="003835B5" w:rsidRPr="00E93D06">
              <w:rPr>
                <w:rFonts w:ascii="Arial" w:hAnsi="Arial" w:cs="Arial"/>
              </w:rPr>
              <w:t xml:space="preserve">Writing is incomplete or </w:t>
            </w:r>
            <w:r w:rsidR="00337F34" w:rsidRPr="00E93D06">
              <w:rPr>
                <w:rFonts w:ascii="Arial" w:hAnsi="Arial" w:cs="Arial"/>
              </w:rPr>
              <w:t>rarely</w:t>
            </w:r>
            <w:r w:rsidR="003835B5" w:rsidRPr="00E93D06">
              <w:rPr>
                <w:rFonts w:ascii="Arial" w:hAnsi="Arial" w:cs="Arial"/>
              </w:rPr>
              <w:t xml:space="preserve"> demonstrates aspects of </w:t>
            </w:r>
            <w:r w:rsidR="00337F34" w:rsidRPr="00E93D06">
              <w:rPr>
                <w:rFonts w:ascii="Arial" w:hAnsi="Arial" w:cs="Arial"/>
              </w:rPr>
              <w:t xml:space="preserve">writing </w:t>
            </w:r>
            <w:r w:rsidR="003835B5" w:rsidRPr="00E93D06">
              <w:rPr>
                <w:rFonts w:ascii="Arial" w:hAnsi="Arial" w:cs="Arial"/>
              </w:rPr>
              <w:t>appropriate</w:t>
            </w:r>
            <w:r w:rsidR="00337F34" w:rsidRPr="00E93D06">
              <w:rPr>
                <w:rFonts w:ascii="Arial" w:hAnsi="Arial" w:cs="Arial"/>
              </w:rPr>
              <w:t xml:space="preserve"> for grade level</w:t>
            </w:r>
            <w:r w:rsidR="003835B5" w:rsidRPr="00E93D06">
              <w:rPr>
                <w:rFonts w:ascii="Arial" w:hAnsi="Arial" w:cs="Arial"/>
              </w:rPr>
              <w:t xml:space="preserve">. </w:t>
            </w:r>
          </w:p>
        </w:tc>
      </w:tr>
    </w:tbl>
    <w:p w14:paraId="4CBE669A" w14:textId="77777777" w:rsidR="00470FC3" w:rsidRPr="00654FC0" w:rsidRDefault="00470FC3" w:rsidP="004B09E4"/>
    <w:sectPr w:rsidR="00470FC3" w:rsidRPr="00654FC0" w:rsidSect="00BE3DAD">
      <w:headerReference w:type="default" r:id="rId11"/>
      <w:footerReference w:type="default" r:id="rId12"/>
      <w:pgSz w:w="15840" w:h="12240" w:orient="landscape"/>
      <w:pgMar w:top="1800" w:right="851"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E669D" w14:textId="77777777" w:rsidR="00332355" w:rsidRDefault="00332355" w:rsidP="00FF090C">
      <w:r>
        <w:separator/>
      </w:r>
    </w:p>
  </w:endnote>
  <w:endnote w:type="continuationSeparator" w:id="0">
    <w:p w14:paraId="4CBE669E" w14:textId="77777777" w:rsidR="00332355" w:rsidRDefault="00332355" w:rsidP="00FF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31B25" w14:textId="3092744C" w:rsidR="006F6CC2" w:rsidRDefault="006F6CC2">
    <w:pPr>
      <w:pStyle w:val="Footer"/>
      <w:pBdr>
        <w:top w:val="thinThickSmallGap" w:sz="24" w:space="1" w:color="622423" w:themeColor="accent2" w:themeShade="7F"/>
      </w:pBdr>
      <w:rPr>
        <w:rFonts w:asciiTheme="majorHAnsi" w:eastAsiaTheme="majorEastAsia" w:hAnsiTheme="majorHAnsi" w:cstheme="majorBidi"/>
      </w:rPr>
    </w:pPr>
    <w:r w:rsidRPr="00CA47C6">
      <w:rPr>
        <w:rFonts w:ascii="Cambria" w:eastAsia="Times New Roman" w:hAnsi="Cambria" w:cs="Times New Roman"/>
      </w:rPr>
      <w:t>Draft Version for Pilot Year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6F6CC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4CBE66A3" w14:textId="77777777" w:rsidR="00E93D06" w:rsidRDefault="00E93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E669B" w14:textId="77777777" w:rsidR="00332355" w:rsidRDefault="00332355" w:rsidP="00FF090C">
      <w:r>
        <w:separator/>
      </w:r>
    </w:p>
  </w:footnote>
  <w:footnote w:type="continuationSeparator" w:id="0">
    <w:p w14:paraId="4CBE669C" w14:textId="77777777" w:rsidR="00332355" w:rsidRDefault="00332355" w:rsidP="00FF0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E669F" w14:textId="77777777" w:rsidR="006F5DD6" w:rsidRPr="00E93D06" w:rsidRDefault="006F5DD6" w:rsidP="006F5DD6">
    <w:pPr>
      <w:jc w:val="center"/>
      <w:rPr>
        <w:rFonts w:ascii="Arial" w:hAnsi="Arial" w:cs="Arial"/>
        <w:b/>
        <w:sz w:val="28"/>
        <w:szCs w:val="28"/>
      </w:rPr>
    </w:pPr>
    <w:r w:rsidRPr="00E93D06">
      <w:rPr>
        <w:rFonts w:ascii="Arial" w:hAnsi="Arial" w:cs="Arial"/>
        <w:b/>
        <w:sz w:val="28"/>
        <w:szCs w:val="28"/>
      </w:rPr>
      <w:t xml:space="preserve">English Language Arts to French Immersion </w:t>
    </w:r>
    <w:r w:rsidR="00E93D06" w:rsidRPr="00E93D06">
      <w:rPr>
        <w:rFonts w:ascii="Arial" w:hAnsi="Arial" w:cs="Arial"/>
        <w:b/>
        <w:sz w:val="28"/>
        <w:szCs w:val="28"/>
      </w:rPr>
      <w:t>-</w:t>
    </w:r>
    <w:r w:rsidRPr="00E93D06">
      <w:rPr>
        <w:rFonts w:ascii="Arial" w:hAnsi="Arial" w:cs="Arial"/>
        <w:b/>
        <w:sz w:val="28"/>
        <w:szCs w:val="28"/>
      </w:rPr>
      <w:t xml:space="preserve"> Grade </w:t>
    </w:r>
    <w:r w:rsidR="00761CF4" w:rsidRPr="00E93D06">
      <w:rPr>
        <w:rFonts w:ascii="Arial" w:hAnsi="Arial" w:cs="Arial"/>
        <w:b/>
        <w:sz w:val="28"/>
        <w:szCs w:val="28"/>
      </w:rPr>
      <w:t>5</w:t>
    </w:r>
    <w:r w:rsidRPr="00E93D06">
      <w:rPr>
        <w:rFonts w:ascii="Arial" w:hAnsi="Arial" w:cs="Arial"/>
        <w:b/>
        <w:sz w:val="28"/>
        <w:szCs w:val="28"/>
      </w:rPr>
      <w:t xml:space="preserve"> </w:t>
    </w:r>
  </w:p>
  <w:p w14:paraId="4CBE66A0" w14:textId="77777777" w:rsidR="006F5DD6" w:rsidRDefault="006F5DD6">
    <w:pPr>
      <w:pStyle w:val="Header"/>
    </w:pPr>
  </w:p>
  <w:p w14:paraId="4CBE66A1" w14:textId="77777777" w:rsidR="00FF090C" w:rsidRDefault="00FF09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A4CC1"/>
    <w:multiLevelType w:val="hybridMultilevel"/>
    <w:tmpl w:val="1C9ABE3C"/>
    <w:lvl w:ilvl="0" w:tplc="A5006128">
      <w:start w:val="1"/>
      <w:numFmt w:val="bullet"/>
      <w:lvlText w:val="o"/>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35793139"/>
    <w:multiLevelType w:val="hybridMultilevel"/>
    <w:tmpl w:val="038C7A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49336820"/>
    <w:multiLevelType w:val="hybridMultilevel"/>
    <w:tmpl w:val="D60C315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54D65CFB"/>
    <w:multiLevelType w:val="hybridMultilevel"/>
    <w:tmpl w:val="A6A22D92"/>
    <w:lvl w:ilvl="0" w:tplc="41F6F69E">
      <w:start w:val="1"/>
      <w:numFmt w:val="bullet"/>
      <w:lvlText w:val="o"/>
      <w:lvlJc w:val="left"/>
      <w:pPr>
        <w:ind w:left="360" w:hanging="360"/>
      </w:pPr>
      <w:rPr>
        <w:rFonts w:ascii="Wingdings" w:hAnsi="Wingdings" w:hint="default"/>
        <w:sz w:val="16"/>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704B4E2C"/>
    <w:multiLevelType w:val="hybridMultilevel"/>
    <w:tmpl w:val="62DCE9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C0"/>
    <w:rsid w:val="0002566B"/>
    <w:rsid w:val="0003283F"/>
    <w:rsid w:val="00042B7F"/>
    <w:rsid w:val="0004429A"/>
    <w:rsid w:val="00072012"/>
    <w:rsid w:val="00076466"/>
    <w:rsid w:val="0008638D"/>
    <w:rsid w:val="000A1F25"/>
    <w:rsid w:val="000C4CF2"/>
    <w:rsid w:val="0011164D"/>
    <w:rsid w:val="00115558"/>
    <w:rsid w:val="00133061"/>
    <w:rsid w:val="0014655A"/>
    <w:rsid w:val="00152ACA"/>
    <w:rsid w:val="0015712B"/>
    <w:rsid w:val="00157A0D"/>
    <w:rsid w:val="00183CB8"/>
    <w:rsid w:val="001D06CC"/>
    <w:rsid w:val="001F509F"/>
    <w:rsid w:val="001F59EE"/>
    <w:rsid w:val="001F62CF"/>
    <w:rsid w:val="001F7348"/>
    <w:rsid w:val="00202296"/>
    <w:rsid w:val="00202E39"/>
    <w:rsid w:val="00211372"/>
    <w:rsid w:val="00243DF3"/>
    <w:rsid w:val="0025212D"/>
    <w:rsid w:val="002556BB"/>
    <w:rsid w:val="00271B0F"/>
    <w:rsid w:val="00282A2B"/>
    <w:rsid w:val="002844DD"/>
    <w:rsid w:val="0028491A"/>
    <w:rsid w:val="0029669A"/>
    <w:rsid w:val="002A3639"/>
    <w:rsid w:val="002B106A"/>
    <w:rsid w:val="002B294C"/>
    <w:rsid w:val="002C71EB"/>
    <w:rsid w:val="003034A3"/>
    <w:rsid w:val="003207E8"/>
    <w:rsid w:val="00332355"/>
    <w:rsid w:val="00337F34"/>
    <w:rsid w:val="0036566B"/>
    <w:rsid w:val="00366DDB"/>
    <w:rsid w:val="003835B5"/>
    <w:rsid w:val="003A2E2F"/>
    <w:rsid w:val="003C526C"/>
    <w:rsid w:val="003D4B82"/>
    <w:rsid w:val="003F3780"/>
    <w:rsid w:val="00405051"/>
    <w:rsid w:val="00414C43"/>
    <w:rsid w:val="0043448D"/>
    <w:rsid w:val="00436739"/>
    <w:rsid w:val="00462F45"/>
    <w:rsid w:val="004651B7"/>
    <w:rsid w:val="00470FC3"/>
    <w:rsid w:val="0048185A"/>
    <w:rsid w:val="00483712"/>
    <w:rsid w:val="00492412"/>
    <w:rsid w:val="00496F13"/>
    <w:rsid w:val="004A0832"/>
    <w:rsid w:val="004A41F8"/>
    <w:rsid w:val="004B09E4"/>
    <w:rsid w:val="004C0E02"/>
    <w:rsid w:val="004E0922"/>
    <w:rsid w:val="004E1067"/>
    <w:rsid w:val="004E4E59"/>
    <w:rsid w:val="004E626E"/>
    <w:rsid w:val="004F2F57"/>
    <w:rsid w:val="004F592D"/>
    <w:rsid w:val="00524349"/>
    <w:rsid w:val="005310FC"/>
    <w:rsid w:val="005578A7"/>
    <w:rsid w:val="00563077"/>
    <w:rsid w:val="00590528"/>
    <w:rsid w:val="005A54D7"/>
    <w:rsid w:val="005B0A6D"/>
    <w:rsid w:val="005B1BEC"/>
    <w:rsid w:val="005C0E34"/>
    <w:rsid w:val="005C18B1"/>
    <w:rsid w:val="005C6E40"/>
    <w:rsid w:val="005C6F4D"/>
    <w:rsid w:val="005D203A"/>
    <w:rsid w:val="005D602C"/>
    <w:rsid w:val="00600C23"/>
    <w:rsid w:val="006139B7"/>
    <w:rsid w:val="00623273"/>
    <w:rsid w:val="006501C5"/>
    <w:rsid w:val="00654FC0"/>
    <w:rsid w:val="00671AD2"/>
    <w:rsid w:val="00676415"/>
    <w:rsid w:val="006766D5"/>
    <w:rsid w:val="006A0545"/>
    <w:rsid w:val="006A421F"/>
    <w:rsid w:val="006A49CB"/>
    <w:rsid w:val="006D7E33"/>
    <w:rsid w:val="006E530C"/>
    <w:rsid w:val="006F35D2"/>
    <w:rsid w:val="006F5B94"/>
    <w:rsid w:val="006F5DD6"/>
    <w:rsid w:val="006F6CC2"/>
    <w:rsid w:val="0070601A"/>
    <w:rsid w:val="007229A3"/>
    <w:rsid w:val="00722D96"/>
    <w:rsid w:val="00761CF4"/>
    <w:rsid w:val="0078352D"/>
    <w:rsid w:val="00792B79"/>
    <w:rsid w:val="00793A4F"/>
    <w:rsid w:val="00796D08"/>
    <w:rsid w:val="007A774F"/>
    <w:rsid w:val="007B2497"/>
    <w:rsid w:val="007B4963"/>
    <w:rsid w:val="007C2051"/>
    <w:rsid w:val="007C2FC7"/>
    <w:rsid w:val="007D26A3"/>
    <w:rsid w:val="00815094"/>
    <w:rsid w:val="00826FD8"/>
    <w:rsid w:val="00874DC7"/>
    <w:rsid w:val="00881097"/>
    <w:rsid w:val="008B2E2B"/>
    <w:rsid w:val="008B4575"/>
    <w:rsid w:val="008B7D3C"/>
    <w:rsid w:val="008D0D69"/>
    <w:rsid w:val="008D537D"/>
    <w:rsid w:val="008F394C"/>
    <w:rsid w:val="00903F2E"/>
    <w:rsid w:val="00920DE7"/>
    <w:rsid w:val="0095333B"/>
    <w:rsid w:val="00962811"/>
    <w:rsid w:val="00962F62"/>
    <w:rsid w:val="009648F7"/>
    <w:rsid w:val="009759A3"/>
    <w:rsid w:val="00995013"/>
    <w:rsid w:val="009B28FB"/>
    <w:rsid w:val="009C46BC"/>
    <w:rsid w:val="009D07E3"/>
    <w:rsid w:val="009D7A5D"/>
    <w:rsid w:val="009E5244"/>
    <w:rsid w:val="00A014E1"/>
    <w:rsid w:val="00A02493"/>
    <w:rsid w:val="00A05A94"/>
    <w:rsid w:val="00A22F62"/>
    <w:rsid w:val="00A32767"/>
    <w:rsid w:val="00A3748E"/>
    <w:rsid w:val="00A76BC0"/>
    <w:rsid w:val="00A830E8"/>
    <w:rsid w:val="00A907CF"/>
    <w:rsid w:val="00AA1532"/>
    <w:rsid w:val="00AE2A41"/>
    <w:rsid w:val="00B00248"/>
    <w:rsid w:val="00B00C9D"/>
    <w:rsid w:val="00B05848"/>
    <w:rsid w:val="00B315D8"/>
    <w:rsid w:val="00B42A1A"/>
    <w:rsid w:val="00B42C66"/>
    <w:rsid w:val="00B44EA6"/>
    <w:rsid w:val="00B51503"/>
    <w:rsid w:val="00B66CE8"/>
    <w:rsid w:val="00B730DA"/>
    <w:rsid w:val="00B754E4"/>
    <w:rsid w:val="00B83C17"/>
    <w:rsid w:val="00B9233E"/>
    <w:rsid w:val="00B97B61"/>
    <w:rsid w:val="00BC1E22"/>
    <w:rsid w:val="00BD0ACC"/>
    <w:rsid w:val="00BE3DAD"/>
    <w:rsid w:val="00BE5060"/>
    <w:rsid w:val="00BE70AF"/>
    <w:rsid w:val="00BF04B1"/>
    <w:rsid w:val="00C1102F"/>
    <w:rsid w:val="00C14C60"/>
    <w:rsid w:val="00C34F85"/>
    <w:rsid w:val="00C50616"/>
    <w:rsid w:val="00C601B2"/>
    <w:rsid w:val="00C76D6E"/>
    <w:rsid w:val="00C93D73"/>
    <w:rsid w:val="00CB4B74"/>
    <w:rsid w:val="00CD2FC0"/>
    <w:rsid w:val="00CF7B00"/>
    <w:rsid w:val="00D0010A"/>
    <w:rsid w:val="00D00F29"/>
    <w:rsid w:val="00D06D46"/>
    <w:rsid w:val="00D07E55"/>
    <w:rsid w:val="00D300EC"/>
    <w:rsid w:val="00D32AD1"/>
    <w:rsid w:val="00D84407"/>
    <w:rsid w:val="00D85AC7"/>
    <w:rsid w:val="00D900AB"/>
    <w:rsid w:val="00DA5638"/>
    <w:rsid w:val="00DD6A89"/>
    <w:rsid w:val="00DF4B7C"/>
    <w:rsid w:val="00E24AE6"/>
    <w:rsid w:val="00E30A3A"/>
    <w:rsid w:val="00E55E8B"/>
    <w:rsid w:val="00E83CAD"/>
    <w:rsid w:val="00E93D06"/>
    <w:rsid w:val="00EC734D"/>
    <w:rsid w:val="00EE2A15"/>
    <w:rsid w:val="00EE7749"/>
    <w:rsid w:val="00F03796"/>
    <w:rsid w:val="00F05DDF"/>
    <w:rsid w:val="00F17506"/>
    <w:rsid w:val="00F429BB"/>
    <w:rsid w:val="00F500C4"/>
    <w:rsid w:val="00F56EDA"/>
    <w:rsid w:val="00F7055E"/>
    <w:rsid w:val="00F71789"/>
    <w:rsid w:val="00F741EB"/>
    <w:rsid w:val="00F755B8"/>
    <w:rsid w:val="00F8110F"/>
    <w:rsid w:val="00F9061D"/>
    <w:rsid w:val="00F90871"/>
    <w:rsid w:val="00FA45C8"/>
    <w:rsid w:val="00FD59DE"/>
    <w:rsid w:val="00FE4A1A"/>
    <w:rsid w:val="00FE758C"/>
    <w:rsid w:val="00FF090C"/>
    <w:rsid w:val="00FF2E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E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3796"/>
    <w:rPr>
      <w:rFonts w:ascii="Tahoma" w:hAnsi="Tahoma" w:cs="Tahoma"/>
      <w:sz w:val="16"/>
      <w:szCs w:val="16"/>
    </w:rPr>
  </w:style>
  <w:style w:type="character" w:customStyle="1" w:styleId="BalloonTextChar">
    <w:name w:val="Balloon Text Char"/>
    <w:basedOn w:val="DefaultParagraphFont"/>
    <w:link w:val="BalloonText"/>
    <w:uiPriority w:val="99"/>
    <w:semiHidden/>
    <w:rsid w:val="00F03796"/>
    <w:rPr>
      <w:rFonts w:ascii="Tahoma" w:hAnsi="Tahoma" w:cs="Tahoma"/>
      <w:sz w:val="16"/>
      <w:szCs w:val="16"/>
    </w:rPr>
  </w:style>
  <w:style w:type="paragraph" w:styleId="Header">
    <w:name w:val="header"/>
    <w:basedOn w:val="Normal"/>
    <w:link w:val="HeaderChar"/>
    <w:uiPriority w:val="99"/>
    <w:unhideWhenUsed/>
    <w:rsid w:val="00FF090C"/>
    <w:pPr>
      <w:tabs>
        <w:tab w:val="center" w:pos="4680"/>
        <w:tab w:val="right" w:pos="9360"/>
      </w:tabs>
    </w:pPr>
  </w:style>
  <w:style w:type="character" w:customStyle="1" w:styleId="HeaderChar">
    <w:name w:val="Header Char"/>
    <w:basedOn w:val="DefaultParagraphFont"/>
    <w:link w:val="Header"/>
    <w:uiPriority w:val="99"/>
    <w:rsid w:val="00FF090C"/>
  </w:style>
  <w:style w:type="paragraph" w:styleId="Footer">
    <w:name w:val="footer"/>
    <w:basedOn w:val="Normal"/>
    <w:link w:val="FooterChar"/>
    <w:uiPriority w:val="99"/>
    <w:unhideWhenUsed/>
    <w:rsid w:val="00FF090C"/>
    <w:pPr>
      <w:tabs>
        <w:tab w:val="center" w:pos="4680"/>
        <w:tab w:val="right" w:pos="9360"/>
      </w:tabs>
    </w:pPr>
  </w:style>
  <w:style w:type="character" w:customStyle="1" w:styleId="FooterChar">
    <w:name w:val="Footer Char"/>
    <w:basedOn w:val="DefaultParagraphFont"/>
    <w:link w:val="Footer"/>
    <w:uiPriority w:val="99"/>
    <w:rsid w:val="00FF090C"/>
  </w:style>
  <w:style w:type="paragraph" w:styleId="ListParagraph">
    <w:name w:val="List Paragraph"/>
    <w:basedOn w:val="Normal"/>
    <w:uiPriority w:val="34"/>
    <w:qFormat/>
    <w:rsid w:val="00F9061D"/>
    <w:pPr>
      <w:ind w:left="720"/>
      <w:contextualSpacing/>
    </w:pPr>
  </w:style>
  <w:style w:type="paragraph" w:styleId="Revision">
    <w:name w:val="Revision"/>
    <w:hidden/>
    <w:uiPriority w:val="99"/>
    <w:semiHidden/>
    <w:rsid w:val="005B1BEC"/>
  </w:style>
  <w:style w:type="paragraph" w:customStyle="1" w:styleId="Default">
    <w:name w:val="Default"/>
    <w:rsid w:val="00903F2E"/>
    <w:pPr>
      <w:autoSpaceDE w:val="0"/>
      <w:autoSpaceDN w:val="0"/>
      <w:adjustRightInd w:val="0"/>
    </w:pPr>
    <w:rPr>
      <w:rFonts w:ascii="Symbol" w:eastAsia="Calibri" w:hAnsi="Symbol" w:cs="Symbo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3796"/>
    <w:rPr>
      <w:rFonts w:ascii="Tahoma" w:hAnsi="Tahoma" w:cs="Tahoma"/>
      <w:sz w:val="16"/>
      <w:szCs w:val="16"/>
    </w:rPr>
  </w:style>
  <w:style w:type="character" w:customStyle="1" w:styleId="BalloonTextChar">
    <w:name w:val="Balloon Text Char"/>
    <w:basedOn w:val="DefaultParagraphFont"/>
    <w:link w:val="BalloonText"/>
    <w:uiPriority w:val="99"/>
    <w:semiHidden/>
    <w:rsid w:val="00F03796"/>
    <w:rPr>
      <w:rFonts w:ascii="Tahoma" w:hAnsi="Tahoma" w:cs="Tahoma"/>
      <w:sz w:val="16"/>
      <w:szCs w:val="16"/>
    </w:rPr>
  </w:style>
  <w:style w:type="paragraph" w:styleId="Header">
    <w:name w:val="header"/>
    <w:basedOn w:val="Normal"/>
    <w:link w:val="HeaderChar"/>
    <w:uiPriority w:val="99"/>
    <w:unhideWhenUsed/>
    <w:rsid w:val="00FF090C"/>
    <w:pPr>
      <w:tabs>
        <w:tab w:val="center" w:pos="4680"/>
        <w:tab w:val="right" w:pos="9360"/>
      </w:tabs>
    </w:pPr>
  </w:style>
  <w:style w:type="character" w:customStyle="1" w:styleId="HeaderChar">
    <w:name w:val="Header Char"/>
    <w:basedOn w:val="DefaultParagraphFont"/>
    <w:link w:val="Header"/>
    <w:uiPriority w:val="99"/>
    <w:rsid w:val="00FF090C"/>
  </w:style>
  <w:style w:type="paragraph" w:styleId="Footer">
    <w:name w:val="footer"/>
    <w:basedOn w:val="Normal"/>
    <w:link w:val="FooterChar"/>
    <w:uiPriority w:val="99"/>
    <w:unhideWhenUsed/>
    <w:rsid w:val="00FF090C"/>
    <w:pPr>
      <w:tabs>
        <w:tab w:val="center" w:pos="4680"/>
        <w:tab w:val="right" w:pos="9360"/>
      </w:tabs>
    </w:pPr>
  </w:style>
  <w:style w:type="character" w:customStyle="1" w:styleId="FooterChar">
    <w:name w:val="Footer Char"/>
    <w:basedOn w:val="DefaultParagraphFont"/>
    <w:link w:val="Footer"/>
    <w:uiPriority w:val="99"/>
    <w:rsid w:val="00FF090C"/>
  </w:style>
  <w:style w:type="paragraph" w:styleId="ListParagraph">
    <w:name w:val="List Paragraph"/>
    <w:basedOn w:val="Normal"/>
    <w:uiPriority w:val="34"/>
    <w:qFormat/>
    <w:rsid w:val="00F9061D"/>
    <w:pPr>
      <w:ind w:left="720"/>
      <w:contextualSpacing/>
    </w:pPr>
  </w:style>
  <w:style w:type="paragraph" w:styleId="Revision">
    <w:name w:val="Revision"/>
    <w:hidden/>
    <w:uiPriority w:val="99"/>
    <w:semiHidden/>
    <w:rsid w:val="005B1BEC"/>
  </w:style>
  <w:style w:type="paragraph" w:customStyle="1" w:styleId="Default">
    <w:name w:val="Default"/>
    <w:rsid w:val="00903F2E"/>
    <w:pPr>
      <w:autoSpaceDE w:val="0"/>
      <w:autoSpaceDN w:val="0"/>
      <w:adjustRightInd w:val="0"/>
    </w:pPr>
    <w:rPr>
      <w:rFonts w:ascii="Symbol" w:eastAsia="Calibri" w:hAnsi="Symbol" w:cs="Symbo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63736">
      <w:bodyDiv w:val="1"/>
      <w:marLeft w:val="0"/>
      <w:marRight w:val="0"/>
      <w:marTop w:val="0"/>
      <w:marBottom w:val="0"/>
      <w:divBdr>
        <w:top w:val="none" w:sz="0" w:space="0" w:color="auto"/>
        <w:left w:val="none" w:sz="0" w:space="0" w:color="auto"/>
        <w:bottom w:val="none" w:sz="0" w:space="0" w:color="auto"/>
        <w:right w:val="none" w:sz="0" w:space="0" w:color="auto"/>
      </w:divBdr>
    </w:div>
    <w:div w:id="1115515061">
      <w:bodyDiv w:val="1"/>
      <w:marLeft w:val="0"/>
      <w:marRight w:val="0"/>
      <w:marTop w:val="0"/>
      <w:marBottom w:val="0"/>
      <w:divBdr>
        <w:top w:val="none" w:sz="0" w:space="0" w:color="auto"/>
        <w:left w:val="none" w:sz="0" w:space="0" w:color="auto"/>
        <w:bottom w:val="none" w:sz="0" w:space="0" w:color="auto"/>
        <w:right w:val="none" w:sz="0" w:space="0" w:color="auto"/>
      </w:divBdr>
    </w:div>
    <w:div w:id="1242956438">
      <w:bodyDiv w:val="1"/>
      <w:marLeft w:val="0"/>
      <w:marRight w:val="0"/>
      <w:marTop w:val="0"/>
      <w:marBottom w:val="0"/>
      <w:divBdr>
        <w:top w:val="none" w:sz="0" w:space="0" w:color="auto"/>
        <w:left w:val="none" w:sz="0" w:space="0" w:color="auto"/>
        <w:bottom w:val="none" w:sz="0" w:space="0" w:color="auto"/>
        <w:right w:val="none" w:sz="0" w:space="0" w:color="auto"/>
      </w:divBdr>
    </w:div>
    <w:div w:id="1976334152">
      <w:bodyDiv w:val="1"/>
      <w:marLeft w:val="0"/>
      <w:marRight w:val="0"/>
      <w:marTop w:val="0"/>
      <w:marBottom w:val="0"/>
      <w:divBdr>
        <w:top w:val="none" w:sz="0" w:space="0" w:color="auto"/>
        <w:left w:val="none" w:sz="0" w:space="0" w:color="auto"/>
        <w:bottom w:val="none" w:sz="0" w:space="0" w:color="auto"/>
        <w:right w:val="none" w:sz="0" w:space="0" w:color="auto"/>
      </w:divBdr>
    </w:div>
    <w:div w:id="204185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448D6036F13543BD2B67571436BB6C" ma:contentTypeVersion="0" ma:contentTypeDescription="Create a new document." ma:contentTypeScope="" ma:versionID="0c475dede066c2c51bf978d884634418">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9DF3D9-3E65-4595-8B50-7D2FFEF77A1F}"/>
</file>

<file path=customXml/itemProps2.xml><?xml version="1.0" encoding="utf-8"?>
<ds:datastoreItem xmlns:ds="http://schemas.openxmlformats.org/officeDocument/2006/customXml" ds:itemID="{78631460-C708-4705-9DC6-4085AFC85CB0}"/>
</file>

<file path=customXml/itemProps3.xml><?xml version="1.0" encoding="utf-8"?>
<ds:datastoreItem xmlns:ds="http://schemas.openxmlformats.org/officeDocument/2006/customXml" ds:itemID="{508C6F3F-6A44-41F4-A647-033BA30CD283}"/>
</file>

<file path=docProps/app.xml><?xml version="1.0" encoding="utf-8"?>
<Properties xmlns="http://schemas.openxmlformats.org/officeDocument/2006/extended-properties" xmlns:vt="http://schemas.openxmlformats.org/officeDocument/2006/docPropsVTypes">
  <Template>Normal.dotm</Template>
  <TotalTime>8</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ELA to FI 5</vt:lpstr>
    </vt:vector>
  </TitlesOfParts>
  <Company>GNB</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to FI 5</dc:title>
  <dc:subject>English Language Arts</dc:subject>
  <dc:creator>Fran Harris</dc:creator>
  <cp:lastModifiedBy>Lynn.Wolverton</cp:lastModifiedBy>
  <cp:revision>6</cp:revision>
  <cp:lastPrinted>2014-05-26T15:24:00Z</cp:lastPrinted>
  <dcterms:created xsi:type="dcterms:W3CDTF">2014-06-20T19:06:00Z</dcterms:created>
  <dcterms:modified xsi:type="dcterms:W3CDTF">2014-09-30T18:42:00Z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0x010100C0448D6036F13543BD2B67571436BB6C</vt:lpwstr>
  </property>
  <property fmtid="{D5CDD505-2E9C-101B-9397-08002B2CF9AE}" pid="3" name="Order">
    <vt:r8>1800</vt:r8>
  </property>
</Properties>
</file>